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Insurance Sources</w:t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Next Insurance </w:t>
        <w:tab/>
        <w:t xml:space="preserve">https://www.nextinsurance.com/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Tivly Insurance </w:t>
        <w:tab/>
        <w:t xml:space="preserve">https://tivly.com/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BrokerLink </w:t>
        <w:tab/>
        <w:t xml:space="preserve">https://www.brokerlink.ca/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Liberty Mutual</w:t>
        <w:tab/>
        <w:t xml:space="preserve">https://business.libertymutual.com/commercial-solutions/general-liability/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Country Financial</w:t>
        <w:tab/>
        <w:t xml:space="preserve">https://advisors.countryfinancial.com/usa/ok/tulsa/michael-trupia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Michael Trupia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Country Financial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7136 S Yale Ave Ste 218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Tulsa, OK 74136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Office phone: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918-298-5200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